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37" w:rsidRDefault="00CE7237" w:rsidP="00CE7237">
      <w:pPr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  <w:lang w:val="en-CA"/>
        </w:rPr>
      </w:pPr>
      <w:r>
        <w:rPr>
          <w:rFonts w:ascii="Cambria" w:hAnsi="Cambria"/>
          <w:sz w:val="32"/>
          <w:szCs w:val="32"/>
          <w:lang w:val="en-CA"/>
        </w:rPr>
        <w:t>Informal Essays vs. Formal Essays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4297"/>
      </w:tblGrid>
      <w:tr w:rsidR="00CE7237" w:rsidTr="00CE7237">
        <w:tc>
          <w:tcPr>
            <w:tcW w:w="1838" w:type="dxa"/>
          </w:tcPr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827" w:type="dxa"/>
          </w:tcPr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Formal Essay</w:t>
            </w:r>
          </w:p>
        </w:tc>
        <w:tc>
          <w:tcPr>
            <w:tcW w:w="4297" w:type="dxa"/>
          </w:tcPr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Informal Essay</w:t>
            </w:r>
          </w:p>
        </w:tc>
      </w:tr>
      <w:tr w:rsidR="00CE7237" w:rsidTr="00CE7237">
        <w:tc>
          <w:tcPr>
            <w:tcW w:w="1838" w:type="dxa"/>
          </w:tcPr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Point of view</w:t>
            </w:r>
          </w:p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827" w:type="dxa"/>
          </w:tcPr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3</w:t>
            </w:r>
            <w:r w:rsidRPr="00CE7237">
              <w:rPr>
                <w:sz w:val="28"/>
                <w:szCs w:val="28"/>
                <w:vertAlign w:val="superscript"/>
                <w:lang w:val="en-CA"/>
              </w:rPr>
              <w:t>rd</w:t>
            </w:r>
            <w:r>
              <w:rPr>
                <w:sz w:val="28"/>
                <w:szCs w:val="28"/>
                <w:lang w:val="en-CA"/>
              </w:rPr>
              <w:t xml:space="preserve"> person</w:t>
            </w:r>
          </w:p>
        </w:tc>
        <w:tc>
          <w:tcPr>
            <w:tcW w:w="4297" w:type="dxa"/>
          </w:tcPr>
          <w:p w:rsidR="00CE7237" w:rsidRDefault="004B0D1C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First person – I, We, You, Us</w:t>
            </w:r>
          </w:p>
        </w:tc>
      </w:tr>
      <w:tr w:rsidR="00CE7237" w:rsidTr="00CE7237">
        <w:tc>
          <w:tcPr>
            <w:tcW w:w="1838" w:type="dxa"/>
          </w:tcPr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Tone</w:t>
            </w:r>
          </w:p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827" w:type="dxa"/>
          </w:tcPr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Objective, detached</w:t>
            </w:r>
          </w:p>
        </w:tc>
        <w:tc>
          <w:tcPr>
            <w:tcW w:w="4297" w:type="dxa"/>
          </w:tcPr>
          <w:p w:rsidR="00CE7237" w:rsidRDefault="004B0D1C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Conversational – bring the reader in </w:t>
            </w:r>
          </w:p>
        </w:tc>
      </w:tr>
      <w:tr w:rsidR="00CE7237" w:rsidTr="00CE7237">
        <w:tc>
          <w:tcPr>
            <w:tcW w:w="1838" w:type="dxa"/>
          </w:tcPr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Content</w:t>
            </w:r>
          </w:p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827" w:type="dxa"/>
          </w:tcPr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Based on analysis and research</w:t>
            </w:r>
          </w:p>
        </w:tc>
        <w:tc>
          <w:tcPr>
            <w:tcW w:w="4297" w:type="dxa"/>
          </w:tcPr>
          <w:p w:rsidR="00CE7237" w:rsidRDefault="004B0D1C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Opinion, thoughts, personal experiences</w:t>
            </w:r>
          </w:p>
        </w:tc>
      </w:tr>
      <w:tr w:rsidR="00CE7237" w:rsidTr="00CE7237">
        <w:tc>
          <w:tcPr>
            <w:tcW w:w="1838" w:type="dxa"/>
          </w:tcPr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Thesis</w:t>
            </w:r>
          </w:p>
        </w:tc>
        <w:tc>
          <w:tcPr>
            <w:tcW w:w="3827" w:type="dxa"/>
          </w:tcPr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Explicitly stated in last sentence of first paragraph</w:t>
            </w:r>
          </w:p>
        </w:tc>
        <w:tc>
          <w:tcPr>
            <w:tcW w:w="4297" w:type="dxa"/>
          </w:tcPr>
          <w:p w:rsidR="00CE7237" w:rsidRDefault="004B0D1C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Can be found anywhere – can be implied </w:t>
            </w:r>
          </w:p>
        </w:tc>
      </w:tr>
      <w:tr w:rsidR="00CE7237" w:rsidTr="00CE7237">
        <w:tc>
          <w:tcPr>
            <w:tcW w:w="1838" w:type="dxa"/>
          </w:tcPr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Purpose</w:t>
            </w:r>
          </w:p>
        </w:tc>
        <w:tc>
          <w:tcPr>
            <w:tcW w:w="3827" w:type="dxa"/>
          </w:tcPr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Prompt reader to think about a topic in a particular way</w:t>
            </w:r>
          </w:p>
        </w:tc>
        <w:tc>
          <w:tcPr>
            <w:tcW w:w="4297" w:type="dxa"/>
          </w:tcPr>
          <w:p w:rsidR="00CE7237" w:rsidRDefault="004B0D1C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Sway someone to your side – engage the reader</w:t>
            </w:r>
          </w:p>
        </w:tc>
      </w:tr>
      <w:tr w:rsidR="00CE7237" w:rsidTr="00CE7237">
        <w:tc>
          <w:tcPr>
            <w:tcW w:w="1838" w:type="dxa"/>
          </w:tcPr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Style</w:t>
            </w:r>
          </w:p>
        </w:tc>
        <w:tc>
          <w:tcPr>
            <w:tcW w:w="3827" w:type="dxa"/>
          </w:tcPr>
          <w:p w:rsidR="00CE7237" w:rsidRDefault="00CE7237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Academic – formal language, elevated diction</w:t>
            </w:r>
          </w:p>
        </w:tc>
        <w:tc>
          <w:tcPr>
            <w:tcW w:w="4297" w:type="dxa"/>
          </w:tcPr>
          <w:p w:rsidR="00CE7237" w:rsidRDefault="004B0D1C" w:rsidP="00CE723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Not so formal – use some slang – sentence fragments </w:t>
            </w:r>
            <w:bookmarkStart w:id="0" w:name="_GoBack"/>
            <w:bookmarkEnd w:id="0"/>
          </w:p>
        </w:tc>
      </w:tr>
    </w:tbl>
    <w:p w:rsidR="00ED1E67" w:rsidRPr="00CE7237" w:rsidRDefault="00ED1E67" w:rsidP="00CE7237">
      <w:pPr>
        <w:rPr>
          <w:sz w:val="28"/>
          <w:szCs w:val="28"/>
          <w:lang w:val="en-CA"/>
        </w:rPr>
      </w:pPr>
    </w:p>
    <w:sectPr w:rsidR="00ED1E67" w:rsidRPr="00CE7237" w:rsidSect="00CE7237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37"/>
    <w:rsid w:val="004B0D1C"/>
    <w:rsid w:val="0073585F"/>
    <w:rsid w:val="008B25EC"/>
    <w:rsid w:val="00CE7237"/>
    <w:rsid w:val="00E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E7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E7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WRDSB</cp:lastModifiedBy>
  <cp:revision>3</cp:revision>
  <dcterms:created xsi:type="dcterms:W3CDTF">2015-10-16T01:17:00Z</dcterms:created>
  <dcterms:modified xsi:type="dcterms:W3CDTF">2015-10-19T14:27:00Z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